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FF"/>
          <w:sz w:val="19"/>
          <w:szCs w:val="19"/>
          <w:u w:val="single"/>
          <w:lang w:eastAsia="es-AR"/>
        </w:rPr>
      </w:pPr>
      <w:r>
        <w:rPr>
          <w:rFonts w:ascii="Helvetica" w:eastAsia="Times New Roman" w:hAnsi="Helvetica" w:cs="Times New Roman"/>
          <w:color w:val="500050"/>
          <w:sz w:val="19"/>
          <w:szCs w:val="19"/>
          <w:lang w:eastAsia="es-AR"/>
        </w:rPr>
        <w:t>Programa Curso</w:t>
      </w:r>
      <w:bookmarkStart w:id="0" w:name="_GoBack"/>
      <w:bookmarkEnd w:id="0"/>
      <w:r>
        <w:rPr>
          <w:rFonts w:ascii="Helvetica" w:eastAsia="Times New Roman" w:hAnsi="Helvetica" w:cs="Times New Roman"/>
          <w:color w:val="500050"/>
          <w:sz w:val="19"/>
          <w:szCs w:val="19"/>
          <w:lang w:eastAsia="es-AR"/>
        </w:rPr>
        <w:t xml:space="preserve"> breve 2020</w:t>
      </w:r>
      <w:r w:rsidRPr="00794BC1">
        <w:rPr>
          <w:rFonts w:ascii="Helvetica" w:eastAsia="Times New Roman" w:hAnsi="Helvetica" w:cs="Times New Roman"/>
          <w:color w:val="500050"/>
          <w:sz w:val="19"/>
          <w:szCs w:val="19"/>
          <w:lang w:eastAsia="es-AR"/>
        </w:rPr>
        <w:fldChar w:fldCharType="begin"/>
      </w:r>
      <w:r w:rsidRPr="00794BC1">
        <w:rPr>
          <w:rFonts w:ascii="Helvetica" w:eastAsia="Times New Roman" w:hAnsi="Helvetica" w:cs="Times New Roman"/>
          <w:color w:val="500050"/>
          <w:sz w:val="19"/>
          <w:szCs w:val="19"/>
          <w:lang w:eastAsia="es-AR"/>
        </w:rPr>
        <w:instrText xml:space="preserve"> HYPERLINK "https://1.bp.blogspot.com/-KHRa5qVnITY/Xyvsyj6UqKI/AAAAAAAAB2Q/IMxs8w3YuRkCYFDLluWggRXIMm_t1CmKgCLcBGAsYHQ/s1280/image%2B%25281%2529.png" </w:instrText>
      </w:r>
      <w:r w:rsidRPr="00794BC1">
        <w:rPr>
          <w:rFonts w:ascii="Helvetica" w:eastAsia="Times New Roman" w:hAnsi="Helvetica" w:cs="Times New Roman"/>
          <w:color w:val="500050"/>
          <w:sz w:val="19"/>
          <w:szCs w:val="19"/>
          <w:lang w:eastAsia="es-AR"/>
        </w:rPr>
        <w:fldChar w:fldCharType="separate"/>
      </w:r>
    </w:p>
    <w:p w:rsidR="00794BC1" w:rsidRPr="00794BC1" w:rsidRDefault="00794BC1" w:rsidP="00794BC1">
      <w:pPr>
        <w:shd w:val="clear" w:color="auto" w:fill="FFFFFF"/>
        <w:spacing w:after="160" w:line="209" w:lineRule="atLeast"/>
        <w:rPr>
          <w:rFonts w:ascii="Calibri" w:eastAsia="Times New Roman" w:hAnsi="Calibri" w:cs="Times New Roman"/>
          <w:color w:val="222222"/>
          <w:sz w:val="24"/>
          <w:szCs w:val="24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sz w:val="36"/>
          <w:szCs w:val="36"/>
          <w:u w:val="single"/>
          <w:lang w:eastAsia="es-AR"/>
        </w:rPr>
        <w:t>ARGUMENTO</w:t>
      </w:r>
    </w:p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500050"/>
          <w:sz w:val="19"/>
          <w:szCs w:val="19"/>
          <w:lang w:eastAsia="es-AR"/>
        </w:rPr>
      </w:pPr>
      <w:r w:rsidRPr="00794BC1">
        <w:rPr>
          <w:rFonts w:ascii="Helvetica" w:eastAsia="Times New Roman" w:hAnsi="Helvetica" w:cs="Times New Roman"/>
          <w:color w:val="500050"/>
          <w:sz w:val="19"/>
          <w:szCs w:val="19"/>
          <w:lang w:eastAsia="es-AR"/>
        </w:rPr>
        <w:fldChar w:fldCharType="end"/>
      </w: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hyperlink r:id="rId5" w:history="1">
        <w:r w:rsidRPr="00794BC1">
          <w:rPr>
            <w:rFonts w:ascii="Calibri" w:eastAsia="Times New Roman" w:hAnsi="Calibri" w:cs="Times New Roman"/>
            <w:i/>
            <w:iCs/>
            <w:color w:val="0000FF"/>
            <w:u w:val="single"/>
            <w:lang w:eastAsia="es-AR"/>
          </w:rPr>
          <w:t>“El psicoanalista sin duda dirige la cura. El primer principio de esta cura, el que deletrean en primer lugar, y que vuelve a encontrar en todas partes en su formación, hasta el punto en que se impregna en él, es que no debe dirigir al paciente”</w:t>
        </w:r>
      </w:hyperlink>
      <w:hyperlink r:id="rId6" w:anchor="m_3780556104617184578__ftn1" w:tgtFrame="_blank" w:tooltip="" w:history="1">
        <w:r w:rsidRPr="00794BC1">
          <w:rPr>
            <w:rFonts w:ascii="Calibri" w:eastAsia="Times New Roman" w:hAnsi="Calibri" w:cs="Times New Roman"/>
            <w:b/>
            <w:bCs/>
            <w:i/>
            <w:iCs/>
            <w:color w:val="196AD4"/>
            <w:u w:val="single"/>
            <w:vertAlign w:val="superscript"/>
            <w:lang w:eastAsia="es-AR"/>
          </w:rPr>
          <w:t>[1]</w:t>
        </w:r>
      </w:hyperlink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> </w:t>
      </w: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>La práctica psicoanalítica se guía por una política, en cuanto a su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estrategia y su táctica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, y una ética. Con ella cuatro conceptos fundamentales atraviesan nuestra clínica: el inconsciente, la pulsión, la repetición y la transferencia. Bajo estos conceptos ¿Cómo pensar la práctica con niños y adolescentes en función de las nuevas presentaciones clínicas?</w:t>
      </w: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 xml:space="preserve">Cuerpos agitados, sin un anclaje simbólico; niños frente a una pantalla, desconectados o </w:t>
      </w:r>
      <w:proofErr w:type="spellStart"/>
      <w:r w:rsidRPr="00794BC1">
        <w:rPr>
          <w:rFonts w:ascii="Calibri" w:eastAsia="Times New Roman" w:hAnsi="Calibri" w:cs="Times New Roman"/>
          <w:color w:val="222222"/>
          <w:lang w:eastAsia="es-AR"/>
        </w:rPr>
        <w:t>hiperconectados</w:t>
      </w:r>
      <w:proofErr w:type="spellEnd"/>
      <w:r w:rsidRPr="00794BC1">
        <w:rPr>
          <w:rFonts w:ascii="Calibri" w:eastAsia="Times New Roman" w:hAnsi="Calibri" w:cs="Times New Roman"/>
          <w:color w:val="222222"/>
          <w:lang w:eastAsia="es-AR"/>
        </w:rPr>
        <w:t xml:space="preserve"> e invasión de un goce sin registro del Otro. Cuerpos adolescentes tomados por ese goce extraño; cuerpos que despliegan escenarios que invitan a ser leídos, donde se perciben gritos silenciosos de también un posible llamado al Otro.</w:t>
      </w: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>Hay una búsqueda incesante de respuestas que llevan al camino sin fin de consulta en consulta. Nuestra respuesta, nuestra ética, nuestra práctica es desde la singularidad del sujeto, ese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hablante ser 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que tiene un cuerpo traumatizado por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lalengua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,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“Digamos que un psicoanálisis nos alivia. Nos alivia en la medida en que aprendemos a leer el acontecimiento de cuerpo”</w:t>
      </w:r>
      <w:hyperlink r:id="rId7" w:anchor="m_3780556104617184578__ftn2" w:tgtFrame="_blank" w:tooltip="" w:history="1">
        <w:r w:rsidRPr="00794BC1">
          <w:rPr>
            <w:rFonts w:ascii="Calibri" w:eastAsia="Times New Roman" w:hAnsi="Calibri" w:cs="Times New Roman"/>
            <w:b/>
            <w:bCs/>
            <w:i/>
            <w:iCs/>
            <w:color w:val="196AD4"/>
            <w:u w:val="single"/>
            <w:vertAlign w:val="superscript"/>
            <w:lang w:eastAsia="es-AR"/>
          </w:rPr>
          <w:t>[2]</w:t>
        </w:r>
      </w:hyperlink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> Si bien la declinación del Nombre del Padre y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“La insistencia de lo real”</w:t>
      </w:r>
      <w:hyperlink r:id="rId8" w:anchor="m_3780556104617184578__ftn3" w:tgtFrame="_blank" w:tooltip="" w:history="1">
        <w:r w:rsidRPr="00794BC1">
          <w:rPr>
            <w:rFonts w:ascii="Calibri" w:eastAsia="Times New Roman" w:hAnsi="Calibri" w:cs="Times New Roman"/>
            <w:b/>
            <w:bCs/>
            <w:i/>
            <w:iCs/>
            <w:color w:val="196AD4"/>
            <w:u w:val="single"/>
            <w:vertAlign w:val="superscript"/>
            <w:lang w:eastAsia="es-AR"/>
          </w:rPr>
          <w:t>[3]</w:t>
        </w:r>
      </w:hyperlink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 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como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 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característica de la época,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 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según la describe J. A. Miller, nos pone en el tapete estas nuevas presentaciones,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 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hay cuestiones, que más allá de la época, no cambian, 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“Pues el psicoanálisis implica lo real del cuerpo…”</w:t>
      </w:r>
      <w:hyperlink r:id="rId9" w:anchor="m_3780556104617184578__ftn4" w:tgtFrame="_blank" w:tooltip="" w:history="1">
        <w:r w:rsidRPr="00794BC1">
          <w:rPr>
            <w:rFonts w:ascii="Calibri" w:eastAsia="Times New Roman" w:hAnsi="Calibri" w:cs="Times New Roman"/>
            <w:b/>
            <w:bCs/>
            <w:i/>
            <w:iCs/>
            <w:color w:val="196AD4"/>
            <w:u w:val="single"/>
            <w:vertAlign w:val="superscript"/>
            <w:lang w:eastAsia="es-AR"/>
          </w:rPr>
          <w:t>[4]</w:t>
        </w:r>
      </w:hyperlink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 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 Así nos tendremos que ver con esas pulsiones desamarradas y con la dificultad de los lazos; seguir apostando a la transferencia y al inconsciente y localizando aquello que se repite, hace a  nuestra clínica. En este camino tres tiempos lógicos que nos guían,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el instante de ver</w:t>
      </w:r>
      <w:r w:rsidRPr="00794BC1">
        <w:rPr>
          <w:rFonts w:ascii="Calibri" w:eastAsia="Times New Roman" w:hAnsi="Calibri" w:cs="Times New Roman"/>
          <w:color w:val="222222"/>
          <w:lang w:eastAsia="es-AR"/>
        </w:rPr>
        <w:t>, </w:t>
      </w:r>
      <w:r w:rsidRPr="00794BC1">
        <w:rPr>
          <w:rFonts w:ascii="Calibri" w:eastAsia="Times New Roman" w:hAnsi="Calibri" w:cs="Times New Roman"/>
          <w:i/>
          <w:iCs/>
          <w:color w:val="222222"/>
          <w:lang w:eastAsia="es-AR"/>
        </w:rPr>
        <w:t>luego tiempo para comprender, en fin, el momento de concluir</w:t>
      </w:r>
      <w:hyperlink r:id="rId10" w:anchor="m_3780556104617184578__ftn5" w:tgtFrame="_blank" w:tooltip="" w:history="1">
        <w:r w:rsidRPr="00794BC1">
          <w:rPr>
            <w:rFonts w:ascii="Calibri" w:eastAsia="Times New Roman" w:hAnsi="Calibri" w:cs="Times New Roman"/>
            <w:b/>
            <w:bCs/>
            <w:i/>
            <w:iCs/>
            <w:color w:val="196AD4"/>
            <w:u w:val="single"/>
            <w:vertAlign w:val="superscript"/>
            <w:lang w:eastAsia="es-AR"/>
          </w:rPr>
          <w:t>[5]</w:t>
        </w:r>
      </w:hyperlink>
      <w:r w:rsidRPr="00794BC1">
        <w:rPr>
          <w:rFonts w:ascii="Calibri" w:eastAsia="Times New Roman" w:hAnsi="Calibri" w:cs="Times New Roman"/>
          <w:color w:val="222222"/>
          <w:lang w:eastAsia="es-AR"/>
        </w:rPr>
        <w:t>.</w:t>
      </w: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>La idea es poder ir transitando estas clases buscando, a la luz de los conceptos fundamentales, aquello que no cambia y conversando lo que sí cambia. Ahondar en la clínica mediante la presentación de casos y articularlos con la teoría. </w:t>
      </w: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>Apostamos, desde hace 20 años, a la formación y a la trasmisión de nuestra práctica en el enriquecimiento del encuentro con el otro.</w:t>
      </w: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> </w:t>
      </w: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</w:p>
    <w:p w:rsidR="00794BC1" w:rsidRPr="00794BC1" w:rsidRDefault="00794BC1" w:rsidP="00794BC1">
      <w:pPr>
        <w:shd w:val="clear" w:color="auto" w:fill="FFFFFF"/>
        <w:spacing w:after="160" w:line="235" w:lineRule="atLeast"/>
        <w:rPr>
          <w:rFonts w:ascii="Calibri" w:eastAsia="Times New Roman" w:hAnsi="Calibri" w:cs="Times New Roman"/>
          <w:color w:val="222222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lang w:eastAsia="es-AR"/>
        </w:rPr>
        <w:t> </w:t>
      </w:r>
    </w:p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22222"/>
          <w:sz w:val="24"/>
          <w:szCs w:val="24"/>
          <w:lang w:eastAsia="es-AR"/>
        </w:rPr>
      </w:pPr>
      <w:r w:rsidRPr="00794BC1">
        <w:rPr>
          <w:rFonts w:ascii="Helvetica" w:eastAsia="Times New Roman" w:hAnsi="Helvetica" w:cs="Times New Roman"/>
          <w:color w:val="222222"/>
          <w:sz w:val="24"/>
          <w:szCs w:val="24"/>
          <w:lang w:eastAsia="es-AR"/>
        </w:rPr>
        <w:br w:type="textWrapping" w:clear="all"/>
      </w:r>
    </w:p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22222"/>
          <w:sz w:val="24"/>
          <w:szCs w:val="24"/>
          <w:lang w:eastAsia="es-AR"/>
        </w:rPr>
      </w:pPr>
      <w:r w:rsidRPr="00794BC1">
        <w:rPr>
          <w:rFonts w:ascii="Helvetica" w:eastAsia="Times New Roman" w:hAnsi="Helvetica" w:cs="Times New Roman"/>
          <w:color w:val="222222"/>
          <w:sz w:val="24"/>
          <w:szCs w:val="24"/>
          <w:lang w:eastAsia="es-AR"/>
        </w:rPr>
        <w:pict>
          <v:rect id="_x0000_i1025" style="width:145.85pt;height:.75pt" o:hrpct="330" o:hrstd="t" o:hr="t" fillcolor="#a0a0a0" stroked="f"/>
        </w:pict>
      </w:r>
    </w:p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</w:pPr>
      <w:hyperlink r:id="rId11" w:anchor="m_3780556104617184578__ftnref1" w:tgtFrame="_blank" w:tooltip="" w:history="1">
        <w:r w:rsidRPr="00794BC1">
          <w:rPr>
            <w:rFonts w:ascii="Calibri" w:eastAsia="Times New Roman" w:hAnsi="Calibri" w:cs="Times New Roman"/>
            <w:color w:val="196AD4"/>
            <w:sz w:val="20"/>
            <w:szCs w:val="20"/>
            <w:u w:val="single"/>
            <w:vertAlign w:val="superscript"/>
            <w:lang w:eastAsia="es-AR"/>
          </w:rPr>
          <w:t>[1]</w:t>
        </w:r>
      </w:hyperlink>
      <w:r w:rsidRPr="00794BC1">
        <w:rPr>
          <w:rFonts w:ascii="Calibri" w:eastAsia="Times New Roman" w:hAnsi="Calibri" w:cs="Times New Roman"/>
          <w:color w:val="222222"/>
          <w:sz w:val="20"/>
          <w:szCs w:val="20"/>
          <w:vertAlign w:val="superscript"/>
          <w:lang w:eastAsia="es-AR"/>
        </w:rPr>
        <w:t>[1]</w:t>
      </w:r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t> Lacan, Escritos 2 “La dirección de la cura y los principios de su poder” Pág. 566</w:t>
      </w:r>
    </w:p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</w:pPr>
      <w:hyperlink r:id="rId12" w:anchor="m_3780556104617184578__ftnref2" w:tgtFrame="_blank" w:tooltip="" w:history="1">
        <w:r w:rsidRPr="00794BC1">
          <w:rPr>
            <w:rFonts w:ascii="Calibri" w:eastAsia="Times New Roman" w:hAnsi="Calibri" w:cs="Times New Roman"/>
            <w:color w:val="196AD4"/>
            <w:sz w:val="20"/>
            <w:szCs w:val="20"/>
            <w:u w:val="single"/>
            <w:vertAlign w:val="superscript"/>
            <w:lang w:eastAsia="es-AR"/>
          </w:rPr>
          <w:t>[2]</w:t>
        </w:r>
      </w:hyperlink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t> Miller, Piezas Sueltas. Pág. 49</w:t>
      </w:r>
    </w:p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</w:pPr>
      <w:hyperlink r:id="rId13" w:anchor="m_3780556104617184578__ftnref3" w:tgtFrame="_blank" w:tooltip="" w:history="1">
        <w:r w:rsidRPr="00794BC1">
          <w:rPr>
            <w:rFonts w:ascii="Calibri" w:eastAsia="Times New Roman" w:hAnsi="Calibri" w:cs="Times New Roman"/>
            <w:color w:val="196AD4"/>
            <w:sz w:val="20"/>
            <w:szCs w:val="20"/>
            <w:u w:val="single"/>
            <w:vertAlign w:val="superscript"/>
            <w:lang w:eastAsia="es-AR"/>
          </w:rPr>
          <w:t>[3]</w:t>
        </w:r>
      </w:hyperlink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t> Miller, Piezas sueltas. Pág. 264</w:t>
      </w:r>
    </w:p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</w:pPr>
      <w:hyperlink r:id="rId14" w:anchor="m_3780556104617184578__ftnref4" w:tgtFrame="_blank" w:tooltip="" w:history="1">
        <w:r w:rsidRPr="00794BC1">
          <w:rPr>
            <w:rFonts w:ascii="Calibri" w:eastAsia="Times New Roman" w:hAnsi="Calibri" w:cs="Times New Roman"/>
            <w:color w:val="196AD4"/>
            <w:sz w:val="20"/>
            <w:szCs w:val="20"/>
            <w:u w:val="single"/>
            <w:vertAlign w:val="superscript"/>
            <w:lang w:eastAsia="es-AR"/>
          </w:rPr>
          <w:t>[4]</w:t>
        </w:r>
      </w:hyperlink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t> Lacan, Escritos 2 “Subversión del sujeto y dialéctica del deseo” Pág. 783</w:t>
      </w:r>
    </w:p>
    <w:bookmarkStart w:id="1" w:name="m_-1216279677662892700_m_378055610461718"/>
    <w:p w:rsidR="00794BC1" w:rsidRPr="00794BC1" w:rsidRDefault="00794BC1" w:rsidP="00794BC1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</w:pPr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lastRenderedPageBreak/>
        <w:fldChar w:fldCharType="begin"/>
      </w:r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instrText xml:space="preserve"> HYPERLINK "https://mail.google.com/mail/u/1/" \l "m_3780556104617184578__ftnref5" \o "" \t "_blank" </w:instrText>
      </w:r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fldChar w:fldCharType="separate"/>
      </w:r>
      <w:r w:rsidRPr="00794BC1">
        <w:rPr>
          <w:rFonts w:ascii="Calibri" w:eastAsia="Times New Roman" w:hAnsi="Calibri" w:cs="Times New Roman"/>
          <w:color w:val="196AD4"/>
          <w:sz w:val="20"/>
          <w:szCs w:val="20"/>
          <w:u w:val="single"/>
          <w:vertAlign w:val="superscript"/>
          <w:lang w:eastAsia="es-AR"/>
        </w:rPr>
        <w:t>[5]</w:t>
      </w:r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fldChar w:fldCharType="end"/>
      </w:r>
      <w:bookmarkEnd w:id="1"/>
      <w:r w:rsidRPr="00794BC1">
        <w:rPr>
          <w:rFonts w:ascii="Calibri" w:eastAsia="Times New Roman" w:hAnsi="Calibri" w:cs="Times New Roman"/>
          <w:color w:val="222222"/>
          <w:sz w:val="20"/>
          <w:szCs w:val="20"/>
          <w:lang w:eastAsia="es-AR"/>
        </w:rPr>
        <w:t> Lacan, Seminario 11. Pág. 47</w:t>
      </w:r>
    </w:p>
    <w:p w:rsidR="00D9613B" w:rsidRDefault="00D9613B"/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BC1"/>
    <w:rsid w:val="00794BC1"/>
    <w:rsid w:val="00D9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94BC1"/>
    <w:rPr>
      <w:color w:val="0000FF"/>
      <w:u w:val="single"/>
    </w:rPr>
  </w:style>
  <w:style w:type="paragraph" w:customStyle="1" w:styleId="yiv3210260339msonormal">
    <w:name w:val="yiv3210260339msonormal"/>
    <w:basedOn w:val="Normal"/>
    <w:rsid w:val="00794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semiHidden/>
    <w:unhideWhenUsed/>
    <w:rsid w:val="00794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94BC1"/>
    <w:rPr>
      <w:color w:val="0000FF"/>
      <w:u w:val="single"/>
    </w:rPr>
  </w:style>
  <w:style w:type="paragraph" w:customStyle="1" w:styleId="yiv3210260339msonormal">
    <w:name w:val="yiv3210260339msonormal"/>
    <w:basedOn w:val="Normal"/>
    <w:rsid w:val="00794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semiHidden/>
    <w:unhideWhenUsed/>
    <w:rsid w:val="00794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1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2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4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0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.google.com/mail/u/1/" TargetMode="External"/><Relationship Id="rId13" Type="http://schemas.openxmlformats.org/officeDocument/2006/relationships/hyperlink" Target="https://mail.google.com/mail/u/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il.google.com/mail/u/1/" TargetMode="External"/><Relationship Id="rId12" Type="http://schemas.openxmlformats.org/officeDocument/2006/relationships/hyperlink" Target="https://mail.google.com/mail/u/1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ail.google.com/mail/u/1/" TargetMode="External"/><Relationship Id="rId11" Type="http://schemas.openxmlformats.org/officeDocument/2006/relationships/hyperlink" Target="https://mail.google.com/mail/u/1/" TargetMode="External"/><Relationship Id="rId5" Type="http://schemas.openxmlformats.org/officeDocument/2006/relationships/hyperlink" Target="https://1.bp.blogspot.com/-KHRa5qVnITY/Xyvsyj6UqKI/AAAAAAAAB2Q/IMxs8w3YuRkCYFDLluWggRXIMm_t1CmKgCLcBGAsYHQ/s1280/image%2B%25281%2529.png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mail.google.com/mail/u/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il.google.com/mail/u/1/" TargetMode="External"/><Relationship Id="rId14" Type="http://schemas.openxmlformats.org/officeDocument/2006/relationships/hyperlink" Target="https://mail.google.com/mail/u/1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613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2022-05-06T17:17:00Z</dcterms:created>
  <dcterms:modified xsi:type="dcterms:W3CDTF">2022-05-06T18:08:00Z</dcterms:modified>
</cp:coreProperties>
</file>