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r w:rsidRPr="00752855">
        <w:rPr>
          <w:rFonts w:ascii="Arial Narrow" w:eastAsia="Times New Roman" w:hAnsi="Arial Narrow" w:cs="Times New Roman"/>
          <w:b/>
          <w:bCs/>
          <w:color w:val="800000"/>
          <w:sz w:val="32"/>
          <w:szCs w:val="32"/>
          <w:lang w:eastAsia="es-AR"/>
        </w:rPr>
        <w:t>Programa IOM 2011</w:t>
      </w:r>
      <w:r w:rsidRPr="0075285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752855" w:rsidRPr="00752855" w:rsidRDefault="00752855" w:rsidP="007528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Arial" w:eastAsia="Times New Roman" w:hAnsi="Arial" w:cs="Arial"/>
          <w:lang w:eastAsia="es-AR"/>
        </w:rPr>
        <w:t xml:space="preserve">Programa organizado alrededor del seminario de </w:t>
      </w:r>
      <w:r w:rsidRPr="00752855">
        <w:rPr>
          <w:rFonts w:ascii="Arial" w:eastAsia="Times New Roman" w:hAnsi="Arial" w:cs="Arial"/>
          <w:b/>
          <w:bCs/>
          <w:lang w:eastAsia="es-AR"/>
        </w:rPr>
        <w:t>Jacques-Alain Miller</w:t>
      </w:r>
    </w:p>
    <w:p w:rsidR="00752855" w:rsidRPr="00752855" w:rsidRDefault="00752855" w:rsidP="007528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Arial" w:eastAsia="Times New Roman" w:hAnsi="Arial" w:cs="Arial"/>
          <w:b/>
          <w:bCs/>
          <w:color w:val="800000"/>
          <w:sz w:val="28"/>
          <w:szCs w:val="28"/>
          <w:lang w:eastAsia="es-AR"/>
        </w:rPr>
        <w:t>“</w:t>
      </w:r>
      <w:r w:rsidRPr="00752855">
        <w:rPr>
          <w:rFonts w:ascii="Arial" w:eastAsia="Times New Roman" w:hAnsi="Arial" w:cs="Arial"/>
          <w:b/>
          <w:bCs/>
          <w:i/>
          <w:iCs/>
          <w:color w:val="800000"/>
          <w:sz w:val="28"/>
          <w:szCs w:val="28"/>
          <w:lang w:eastAsia="es-AR"/>
        </w:rPr>
        <w:t>Los signos del goce”</w:t>
      </w:r>
    </w:p>
    <w:p w:rsidR="00752855" w:rsidRPr="00752855" w:rsidRDefault="00752855" w:rsidP="00752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Times New Roman" w:eastAsia="Times New Roman" w:hAnsi="Times New Roman" w:cs="Times New Roman"/>
          <w:sz w:val="24"/>
          <w:szCs w:val="24"/>
          <w:lang w:eastAsia="es-AR"/>
        </w:rPr>
        <w:t> </w:t>
      </w:r>
      <w:r w:rsidRPr="00752855">
        <w:rPr>
          <w:rFonts w:ascii="Book Antiqua" w:eastAsia="Times New Roman" w:hAnsi="Book Antiqua" w:cs="Times New Roman"/>
          <w:sz w:val="24"/>
          <w:szCs w:val="24"/>
          <w:lang w:eastAsia="es-AR"/>
        </w:rPr>
        <w:t xml:space="preserve">“Es la constelación de esas insignias lo que constituye para el sujeto el Ideal del yo”. Jacques-Alain Miller presenta esta frase que recoge de Lacan, de sus </w:t>
      </w:r>
      <w:r w:rsidRPr="00752855">
        <w:rPr>
          <w:rFonts w:ascii="Book Antiqua" w:eastAsia="Times New Roman" w:hAnsi="Book Antiqua" w:cs="Times New Roman"/>
          <w:i/>
          <w:iCs/>
          <w:sz w:val="24"/>
          <w:szCs w:val="24"/>
          <w:lang w:eastAsia="es-AR"/>
        </w:rPr>
        <w:t>Escritos</w:t>
      </w:r>
      <w:r w:rsidRPr="00752855">
        <w:rPr>
          <w:rFonts w:ascii="Book Antiqua" w:eastAsia="Times New Roman" w:hAnsi="Book Antiqua" w:cs="Times New Roman"/>
          <w:sz w:val="24"/>
          <w:szCs w:val="24"/>
          <w:lang w:eastAsia="es-AR"/>
        </w:rPr>
        <w:t>; en adelante el pasaje dejará de resultar familiar a sus oyentes.</w:t>
      </w:r>
    </w:p>
    <w:p w:rsidR="00752855" w:rsidRPr="00752855" w:rsidRDefault="00752855" w:rsidP="00752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Book Antiqua" w:eastAsia="Times New Roman" w:hAnsi="Book Antiqua" w:cs="Times New Roman"/>
          <w:sz w:val="24"/>
          <w:szCs w:val="24"/>
          <w:lang w:eastAsia="es-AR"/>
        </w:rPr>
        <w:t>Y es que allí donde se había instalado la rutina de una lectura, la evidencia de un sentido, la comodidad de lo ya sabido, surge de pronto un problema.”</w:t>
      </w:r>
    </w:p>
    <w:p w:rsidR="00752855" w:rsidRPr="00752855" w:rsidRDefault="00752855" w:rsidP="007528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Book Antiqua" w:eastAsia="Times New Roman" w:hAnsi="Book Antiqua" w:cs="Times New Roman"/>
          <w:lang w:eastAsia="es-AR"/>
        </w:rPr>
        <w:t xml:space="preserve">Graciela </w:t>
      </w:r>
      <w:proofErr w:type="spellStart"/>
      <w:r w:rsidRPr="00752855">
        <w:rPr>
          <w:rFonts w:ascii="Book Antiqua" w:eastAsia="Times New Roman" w:hAnsi="Book Antiqua" w:cs="Times New Roman"/>
          <w:lang w:eastAsia="es-AR"/>
        </w:rPr>
        <w:t>Brodsky</w:t>
      </w:r>
      <w:proofErr w:type="spellEnd"/>
      <w:r w:rsidRPr="00752855">
        <w:rPr>
          <w:rFonts w:ascii="Book Antiqua" w:eastAsia="Times New Roman" w:hAnsi="Book Antiqua" w:cs="Times New Roman"/>
          <w:lang w:eastAsia="es-AR"/>
        </w:rPr>
        <w:t xml:space="preserve"> (contratapa de </w:t>
      </w:r>
      <w:r w:rsidRPr="00752855">
        <w:rPr>
          <w:rFonts w:ascii="Book Antiqua" w:eastAsia="Times New Roman" w:hAnsi="Book Antiqua" w:cs="Times New Roman"/>
          <w:i/>
          <w:iCs/>
          <w:lang w:eastAsia="es-AR"/>
        </w:rPr>
        <w:t>Los signos del goce</w:t>
      </w:r>
      <w:r w:rsidRPr="00752855">
        <w:rPr>
          <w:rFonts w:ascii="Book Antiqua" w:eastAsia="Times New Roman" w:hAnsi="Book Antiqua" w:cs="Times New Roman"/>
          <w:lang w:eastAsia="es-AR"/>
        </w:rPr>
        <w:t>)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1 -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>Abril, 8 y 9</w:t>
      </w:r>
      <w:proofErr w:type="gramStart"/>
      <w:r w:rsidRPr="00752855">
        <w:rPr>
          <w:rFonts w:ascii="Courier New" w:eastAsia="Times New Roman" w:hAnsi="Courier New" w:cs="Courier New"/>
          <w:color w:val="008000"/>
          <w:lang w:eastAsia="es-AR"/>
        </w:rPr>
        <w:t>: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>Graciela</w:t>
      </w:r>
      <w:proofErr w:type="gramEnd"/>
      <w:r w:rsidRPr="00752855">
        <w:rPr>
          <w:rFonts w:ascii="Courier New" w:eastAsia="Times New Roman" w:hAnsi="Courier New" w:cs="Courier New"/>
          <w:color w:val="993300"/>
          <w:lang w:eastAsia="es-AR"/>
        </w:rPr>
        <w:t xml:space="preserve"> Esperanza.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Qué es un sujeto.</w:t>
      </w:r>
      <w:r w:rsidRPr="00752855">
        <w:rPr>
          <w:rFonts w:ascii="Courier New" w:eastAsia="Times New Roman" w:hAnsi="Courier New" w:cs="Courier New"/>
          <w:lang w:eastAsia="es-AR"/>
        </w:rPr>
        <w:t xml:space="preserve"> Cap. II y Cap. VI.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 xml:space="preserve">Presentación caso: </w:t>
      </w:r>
      <w:proofErr w:type="spellStart"/>
      <w:r w:rsidRPr="00752855">
        <w:rPr>
          <w:rFonts w:ascii="Courier New" w:eastAsia="Times New Roman" w:hAnsi="Courier New" w:cs="Courier New"/>
          <w:lang w:eastAsia="es-AR"/>
        </w:rPr>
        <w:t>Déborah</w:t>
      </w:r>
      <w:proofErr w:type="spellEnd"/>
      <w:r w:rsidRPr="00752855">
        <w:rPr>
          <w:rFonts w:ascii="Courier New" w:eastAsia="Times New Roman" w:hAnsi="Courier New" w:cs="Courier New"/>
          <w:lang w:eastAsia="es-AR"/>
        </w:rPr>
        <w:t xml:space="preserve"> Lazzeri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2 -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 xml:space="preserve">Mayo, 13 y 14: 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 xml:space="preserve">Pablo </w:t>
      </w:r>
      <w:proofErr w:type="spellStart"/>
      <w:r w:rsidRPr="00752855">
        <w:rPr>
          <w:rFonts w:ascii="Courier New" w:eastAsia="Times New Roman" w:hAnsi="Courier New" w:cs="Courier New"/>
          <w:color w:val="993300"/>
          <w:lang w:eastAsia="es-AR"/>
        </w:rPr>
        <w:t>Russo</w:t>
      </w:r>
      <w:proofErr w:type="spellEnd"/>
      <w:r w:rsidRPr="00752855">
        <w:rPr>
          <w:rFonts w:ascii="Courier New" w:eastAsia="Times New Roman" w:hAnsi="Courier New" w:cs="Courier New"/>
          <w:color w:val="993300"/>
          <w:lang w:eastAsia="es-AR"/>
        </w:rPr>
        <w:t>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El síntoma y la escritura</w:t>
      </w:r>
      <w:r w:rsidRPr="00752855">
        <w:rPr>
          <w:rFonts w:ascii="Courier New" w:eastAsia="Times New Roman" w:hAnsi="Courier New" w:cs="Courier New"/>
          <w:lang w:eastAsia="es-AR"/>
        </w:rPr>
        <w:t xml:space="preserve">. Cap. XIV.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Presentación caso: Violeta Paolini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3 –</w:t>
      </w:r>
      <w:r w:rsidRPr="00752855">
        <w:rPr>
          <w:rFonts w:ascii="centaur" w:eastAsia="Times New Roman" w:hAnsi="centaur" w:cs="Times New Roman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 xml:space="preserve">Junio, 3 y 4: 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 xml:space="preserve">Alejandro </w:t>
      </w:r>
      <w:proofErr w:type="spellStart"/>
      <w:r w:rsidRPr="00752855">
        <w:rPr>
          <w:rFonts w:ascii="Courier New" w:eastAsia="Times New Roman" w:hAnsi="Courier New" w:cs="Courier New"/>
          <w:color w:val="993300"/>
          <w:lang w:eastAsia="es-AR"/>
        </w:rPr>
        <w:t>Daumas</w:t>
      </w:r>
      <w:proofErr w:type="spellEnd"/>
      <w:r w:rsidRPr="00752855">
        <w:rPr>
          <w:rFonts w:ascii="Courier New" w:eastAsia="Times New Roman" w:hAnsi="Courier New" w:cs="Courier New"/>
          <w:color w:val="993300"/>
          <w:lang w:eastAsia="es-AR"/>
        </w:rPr>
        <w:t>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La ética del psicoanálisis. Forzamiento.</w:t>
      </w:r>
      <w:r w:rsidRPr="00752855">
        <w:rPr>
          <w:rFonts w:ascii="Courier New" w:eastAsia="Times New Roman" w:hAnsi="Courier New" w:cs="Courier New"/>
          <w:lang w:eastAsia="es-AR"/>
        </w:rPr>
        <w:t xml:space="preserve"> Cap. XI.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 xml:space="preserve">Presentación caso: Mónica </w:t>
      </w:r>
      <w:proofErr w:type="spellStart"/>
      <w:r w:rsidRPr="00752855">
        <w:rPr>
          <w:rFonts w:ascii="Courier New" w:eastAsia="Times New Roman" w:hAnsi="Courier New" w:cs="Courier New"/>
          <w:lang w:eastAsia="es-AR"/>
        </w:rPr>
        <w:t>Languni</w:t>
      </w:r>
      <w:proofErr w:type="spellEnd"/>
      <w:r w:rsidRPr="00752855">
        <w:rPr>
          <w:rFonts w:ascii="Courier New" w:eastAsia="Times New Roman" w:hAnsi="Courier New" w:cs="Courier New"/>
          <w:lang w:eastAsia="es-AR"/>
        </w:rPr>
        <w:t>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4 -</w:t>
      </w:r>
      <w:r w:rsidRPr="00752855">
        <w:rPr>
          <w:rFonts w:ascii="centaur" w:eastAsia="Times New Roman" w:hAnsi="centaur" w:cs="Times New Roman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 xml:space="preserve">Julio, 1 y 2: 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 xml:space="preserve">Mary Lilian Trigo </w:t>
      </w:r>
      <w:r w:rsidRPr="00752855">
        <w:rPr>
          <w:rFonts w:ascii="Courier New" w:eastAsia="Times New Roman" w:hAnsi="Courier New" w:cs="Courier New"/>
          <w:lang w:eastAsia="es-AR"/>
        </w:rPr>
        <w:t>–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 xml:space="preserve"> Violeta Paolini.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El significante y la letra: la insignia.</w:t>
      </w:r>
      <w:r w:rsidRPr="00752855">
        <w:rPr>
          <w:rFonts w:ascii="Courier New" w:eastAsia="Times New Roman" w:hAnsi="Courier New" w:cs="Courier New"/>
          <w:lang w:eastAsia="es-AR"/>
        </w:rPr>
        <w:t xml:space="preserve"> Cap. XVI y XVII.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 xml:space="preserve">Presentación caso: Paula </w:t>
      </w:r>
      <w:proofErr w:type="spellStart"/>
      <w:r w:rsidRPr="00752855">
        <w:rPr>
          <w:rFonts w:ascii="Courier New" w:eastAsia="Times New Roman" w:hAnsi="Courier New" w:cs="Courier New"/>
          <w:lang w:eastAsia="es-AR"/>
        </w:rPr>
        <w:t>Pocai</w:t>
      </w:r>
      <w:proofErr w:type="spellEnd"/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5 -</w:t>
      </w:r>
      <w:r w:rsidRPr="00752855">
        <w:rPr>
          <w:rFonts w:ascii="centaur" w:eastAsia="Times New Roman" w:hAnsi="centaur" w:cs="Times New Roman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 xml:space="preserve">Agosto, 5 y 6: </w:t>
      </w:r>
      <w:proofErr w:type="spellStart"/>
      <w:r w:rsidRPr="00752855">
        <w:rPr>
          <w:rFonts w:ascii="Courier New" w:eastAsia="Times New Roman" w:hAnsi="Courier New" w:cs="Courier New"/>
          <w:color w:val="993300"/>
          <w:lang w:eastAsia="es-AR"/>
        </w:rPr>
        <w:t>Déborah</w:t>
      </w:r>
      <w:proofErr w:type="spellEnd"/>
      <w:r w:rsidRPr="00752855">
        <w:rPr>
          <w:rFonts w:ascii="Courier New" w:eastAsia="Times New Roman" w:hAnsi="Courier New" w:cs="Courier New"/>
          <w:color w:val="993300"/>
          <w:lang w:eastAsia="es-AR"/>
        </w:rPr>
        <w:t xml:space="preserve"> Lazzeri.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La interpretación….continua y  discontinua.</w:t>
      </w:r>
      <w:r w:rsidRPr="00752855">
        <w:rPr>
          <w:rFonts w:ascii="Courier New" w:eastAsia="Times New Roman" w:hAnsi="Courier New" w:cs="Courier New"/>
          <w:lang w:eastAsia="es-AR"/>
        </w:rPr>
        <w:t xml:space="preserve"> Cap. IX y X y XII.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Presentación caso: Pablo Reynoso.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6 -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 xml:space="preserve"> Agosto, 19 y 20: 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>Azucena Zanón.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Identificación y representación: la alienación.</w:t>
      </w:r>
      <w:r w:rsidRPr="00752855">
        <w:rPr>
          <w:rFonts w:ascii="Courier New" w:eastAsia="Times New Roman" w:hAnsi="Courier New" w:cs="Courier New"/>
          <w:lang w:eastAsia="es-AR"/>
        </w:rPr>
        <w:t xml:space="preserve"> Cap. VII y VIII.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Presentación caso: Magali Valladares.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7 -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 xml:space="preserve"> Setiembre, 2 y 3: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 xml:space="preserve"> Luis Martínez.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La pulsión de muerte de Freud: la destrucción y la de Lacan: lo real.</w:t>
      </w:r>
      <w:r w:rsidRPr="00752855">
        <w:rPr>
          <w:rFonts w:ascii="Courier New" w:eastAsia="Times New Roman" w:hAnsi="Courier New" w:cs="Courier New"/>
          <w:lang w:eastAsia="es-AR"/>
        </w:rPr>
        <w:t xml:space="preserve"> Cap. XIV.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 xml:space="preserve">Presentación </w:t>
      </w:r>
      <w:proofErr w:type="spellStart"/>
      <w:r w:rsidRPr="00752855">
        <w:rPr>
          <w:rFonts w:ascii="Courier New" w:eastAsia="Times New Roman" w:hAnsi="Courier New" w:cs="Courier New"/>
          <w:lang w:eastAsia="es-AR"/>
        </w:rPr>
        <w:t>caso</w:t>
      </w:r>
      <w:proofErr w:type="gramStart"/>
      <w:r w:rsidRPr="00752855">
        <w:rPr>
          <w:rFonts w:ascii="Courier New" w:eastAsia="Times New Roman" w:hAnsi="Courier New" w:cs="Courier New"/>
          <w:lang w:eastAsia="es-AR"/>
        </w:rPr>
        <w:t>:M.Fernanda</w:t>
      </w:r>
      <w:proofErr w:type="spellEnd"/>
      <w:proofErr w:type="gramEnd"/>
      <w:r w:rsidRPr="00752855">
        <w:rPr>
          <w:rFonts w:ascii="Courier New" w:eastAsia="Times New Roman" w:hAnsi="Courier New" w:cs="Courier New"/>
          <w:lang w:eastAsia="es-AR"/>
        </w:rPr>
        <w:t xml:space="preserve"> Díaz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8 -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 xml:space="preserve"> Octubre, 7 y 8: 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 xml:space="preserve">Mario </w:t>
      </w:r>
      <w:proofErr w:type="spellStart"/>
      <w:r w:rsidRPr="00752855">
        <w:rPr>
          <w:rFonts w:ascii="Courier New" w:eastAsia="Times New Roman" w:hAnsi="Courier New" w:cs="Courier New"/>
          <w:color w:val="993300"/>
          <w:lang w:eastAsia="es-AR"/>
        </w:rPr>
        <w:t>Goldenberg</w:t>
      </w:r>
      <w:proofErr w:type="spellEnd"/>
      <w:r w:rsidRPr="00752855">
        <w:rPr>
          <w:rFonts w:ascii="Courier New" w:eastAsia="Times New Roman" w:hAnsi="Courier New" w:cs="Courier New"/>
          <w:color w:val="993300"/>
          <w:lang w:eastAsia="es-AR"/>
        </w:rPr>
        <w:t>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El conocimiento y el saber…: la invención.</w:t>
      </w:r>
      <w:r w:rsidRPr="00752855">
        <w:rPr>
          <w:rFonts w:ascii="Courier New" w:eastAsia="Times New Roman" w:hAnsi="Courier New" w:cs="Courier New"/>
          <w:lang w:eastAsia="es-AR"/>
        </w:rPr>
        <w:t xml:space="preserve"> Cap. XIII.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 xml:space="preserve">Presentación caso: Mariela García.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lang w:eastAsia="es-AR"/>
        </w:rPr>
        <w:t>10 -</w:t>
      </w:r>
      <w:r w:rsidRPr="00752855">
        <w:rPr>
          <w:rFonts w:ascii="centaur" w:eastAsia="Times New Roman" w:hAnsi="centaur" w:cs="Times New Roman"/>
          <w:color w:val="008000"/>
          <w:lang w:eastAsia="es-AR"/>
        </w:rPr>
        <w:t xml:space="preserve"> Noviembre, 4 y 5: </w:t>
      </w:r>
      <w:r w:rsidRPr="00752855">
        <w:rPr>
          <w:rFonts w:ascii="Courier New" w:eastAsia="Times New Roman" w:hAnsi="Courier New" w:cs="Courier New"/>
          <w:color w:val="993300"/>
          <w:lang w:eastAsia="es-AR"/>
        </w:rPr>
        <w:t>Graciela Esperanza.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i/>
          <w:iCs/>
          <w:lang w:eastAsia="es-AR"/>
        </w:rPr>
        <w:t>El fantasma y la construcción. La sublimación.</w:t>
      </w:r>
      <w:r w:rsidRPr="00752855">
        <w:rPr>
          <w:rFonts w:ascii="Courier New" w:eastAsia="Times New Roman" w:hAnsi="Courier New" w:cs="Courier New"/>
          <w:lang w:eastAsia="es-AR"/>
        </w:rPr>
        <w:t xml:space="preserve"> Cap. XV y XIX.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ourier New" w:eastAsia="Times New Roman" w:hAnsi="Courier New" w:cs="Courier New"/>
          <w:color w:val="993300"/>
          <w:lang w:eastAsia="es-AR"/>
        </w:rPr>
        <w:t>Coloquio-Seminario.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lastRenderedPageBreak/>
        <w:t>Referencias Bibliográficas sugeridas además de dicho seminario</w:t>
      </w:r>
      <w:r w:rsidRPr="00752855">
        <w:rPr>
          <w:rFonts w:ascii="centaur" w:eastAsia="Times New Roman" w:hAnsi="centaur" w:cs="Times New Roman"/>
          <w:sz w:val="27"/>
          <w:szCs w:val="27"/>
          <w:lang w:eastAsia="es-AR"/>
        </w:rPr>
        <w:t>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1.-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Sigmund Freud: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 “La interpretación de los sueños (segunda parte) Cap. VII  - A. El olvido de los sueños.”(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1900-1901) Obras Completas. Amorrortu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    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Sigmund Freud: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Lo Inconsciente”. </w:t>
      </w:r>
      <w:proofErr w:type="spell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Volúmen</w:t>
      </w:r>
      <w:proofErr w:type="spell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proofErr w:type="gram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XIV .(</w:t>
      </w:r>
      <w:proofErr w:type="gram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1915).Obras completas, Amorrortu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    Sigmund Freud: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"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La represión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”. Volumen XIV</w:t>
      </w:r>
      <w:proofErr w:type="gram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.(</w:t>
      </w:r>
      <w:proofErr w:type="gram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1915). Obras completas, Amorrortu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   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Michel Foucault: 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“¿Qué es un autor?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(1969).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2.-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Jacques Lacan: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“Conferencia en Ginebra sobre el síntoma”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.Pág. 115.Intervenciones y textos 2. Manantiales Ed.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     Jacques Lacan</w:t>
      </w:r>
      <w:proofErr w:type="gramStart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:  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El</w:t>
      </w:r>
      <w:proofErr w:type="gram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seminario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Libro 20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Aun”.</w:t>
      </w:r>
      <w:r w:rsidRPr="00752855">
        <w:rPr>
          <w:rFonts w:ascii="centaur" w:eastAsia="Times New Roman" w:hAnsi="centaur" w:cs="Times New Roman"/>
          <w:b/>
          <w:bCs/>
          <w:i/>
          <w:iCs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Cap. III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La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función de lo escrito”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. Año 1972-1973. Ed. Paidós.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     </w:t>
      </w:r>
      <w:proofErr w:type="spellStart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Roland</w:t>
      </w:r>
      <w:proofErr w:type="spellEnd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 </w:t>
      </w:r>
      <w:proofErr w:type="spellStart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Barthes</w:t>
      </w:r>
      <w:proofErr w:type="spellEnd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Variaciones sobre la escritura</w:t>
      </w:r>
      <w:proofErr w:type="gram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”(</w:t>
      </w:r>
      <w:proofErr w:type="gram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1973) Ed. Paidós.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3.-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Jacques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Lacan: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El Seminario Libro </w:t>
      </w:r>
      <w:proofErr w:type="gram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7 ”</w:t>
      </w:r>
      <w:proofErr w:type="gramEnd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La </w:t>
      </w:r>
      <w:proofErr w:type="spellStart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Etica</w:t>
      </w:r>
      <w:proofErr w:type="spellEnd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 del Psicoanálisis”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.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Año 1959-1960.Editorial Paidós Capítulos XII al  XXIV.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b/>
          <w:bCs/>
          <w:i/>
          <w:iCs/>
          <w:sz w:val="24"/>
          <w:szCs w:val="24"/>
          <w:lang w:eastAsia="es-AR"/>
        </w:rPr>
        <w:t>    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Sigmund Freud: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“Consejos al médico sobre el tratamiento psicoanalítico”. Volumen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XII (1912).Obras Completas, Amorrortu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4.-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Jacques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Lacan: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El Seminario, Libro 11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Los cuatro conceptos fundamentales del psicoanálisis”.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Cap. XIX  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De la interpretación a la  transferencia”, </w:t>
      </w:r>
      <w:proofErr w:type="spell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pag</w:t>
      </w:r>
      <w:proofErr w:type="spell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. 252. Ed. Paidós.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    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Jean-Claude </w:t>
      </w:r>
      <w:proofErr w:type="spellStart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Milner</w:t>
      </w:r>
      <w:proofErr w:type="spellEnd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: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El amor a la lengua”.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Antonio Machado (1998) Madrid.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5.-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Jacques Lacan: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La dirección de la cura y los principios de su poder”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. Escritos 2, pág. 565. Siglo veintiuno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     Jacques Lacan: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Función y campo de la palabra y el lenguaje en psicoanálisis”.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Escritos 1, pág. 227. Siglo veintiuno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6.- 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Sigmund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Freud: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Psicología de las masas y análisis del yo”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.  Volumen XVIII (1921). Obras completas. Amorrortu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     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Jacques Lacan: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“La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instancia de la letra en el inconsciente o la razón desde </w:t>
      </w:r>
      <w:proofErr w:type="gramStart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Freud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”</w:t>
      </w:r>
      <w:proofErr w:type="gram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. Escritos 1, pág. 473 Siglo veintiuno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7.-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Sigmund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Freud: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Más allá del principio del placer”.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Volumen XVIII. (1920). Obras completas. Amorrortu editores.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   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 Sigmund Freud</w:t>
      </w:r>
      <w:proofErr w:type="gramStart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 “</w:t>
      </w:r>
      <w:proofErr w:type="gram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¿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Por qué la guerra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?” volumen XXII (Einstein y Freud) (1933 [1932]) Obras completas. Amorrortu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     Jacques Lacan</w:t>
      </w:r>
      <w:proofErr w:type="gramStart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 “</w:t>
      </w:r>
      <w:proofErr w:type="gramEnd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Subversión del sujeto y dialéctica del deseo en el inconsciente freudiano”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. Escritos 2, pág. 773. Siglo veintiuno ed.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8.-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Sigmund Freud</w:t>
      </w:r>
      <w:proofErr w:type="gramStart"/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:  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“</w:t>
      </w:r>
      <w:proofErr w:type="gramEnd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 Construcciones en el análisis”.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Volumen XXIII. (1937). Obras completas. Amorrortu editores.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     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Michel Foucault: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La hermenéutica del sujeto”: curso del </w:t>
      </w:r>
      <w:proofErr w:type="spellStart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Collège</w:t>
      </w:r>
      <w:proofErr w:type="spellEnd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 de France (1982)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,  Fondo de cultura económica. (1981-1982).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lastRenderedPageBreak/>
        <w:t>9.-  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Sigmund Freud: 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Construcciones en el análisis”.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Volumen XXIII. (1937). Obras completas. Amorrortu editores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.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      Jeremy Bentham: </w:t>
      </w:r>
      <w:r w:rsidRPr="00752855">
        <w:rPr>
          <w:rFonts w:ascii="centaur" w:eastAsia="Times New Roman" w:hAnsi="centaur" w:cs="Times New Roman"/>
          <w:i/>
          <w:iCs/>
          <w:color w:val="000000"/>
          <w:sz w:val="24"/>
          <w:szCs w:val="24"/>
          <w:lang w:eastAsia="es-AR"/>
        </w:rPr>
        <w:t>“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Teoría de las ficciones”</w:t>
      </w:r>
      <w:r w:rsidRPr="00752855">
        <w:rPr>
          <w:rFonts w:ascii="centaur" w:eastAsia="Times New Roman" w:hAnsi="centaur" w:cs="Times New Roman"/>
          <w:i/>
          <w:iCs/>
          <w:color w:val="000000"/>
          <w:sz w:val="24"/>
          <w:szCs w:val="24"/>
          <w:lang w:eastAsia="es-AR"/>
        </w:rPr>
        <w:t>.</w:t>
      </w:r>
      <w:r w:rsidRPr="00752855">
        <w:rPr>
          <w:rFonts w:ascii="centaur" w:eastAsia="Times New Roman" w:hAnsi="centaur" w:cs="Times New Roman"/>
          <w:color w:val="000000"/>
          <w:sz w:val="24"/>
          <w:szCs w:val="24"/>
          <w:lang w:eastAsia="es-AR"/>
        </w:rPr>
        <w:t xml:space="preserve"> </w:t>
      </w:r>
      <w:proofErr w:type="spell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Cremades</w:t>
      </w:r>
      <w:proofErr w:type="spell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Ugarte, Ignacio (</w:t>
      </w:r>
      <w:proofErr w:type="spell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tr</w:t>
      </w:r>
      <w:proofErr w:type="spell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.) Marcial Pons, Ediciones Jurídicas y Sociales, S.A. 1ª ed.,   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      1ª imp</w:t>
      </w:r>
      <w:proofErr w:type="gramStart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.(</w:t>
      </w:r>
      <w:proofErr w:type="gramEnd"/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04/2005).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10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.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-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Jacques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>Lacan: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 xml:space="preserve"> El Seminario, Libro 7. ”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La </w:t>
      </w:r>
      <w:proofErr w:type="spellStart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>Etica</w:t>
      </w:r>
      <w:proofErr w:type="spellEnd"/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 del Psicoanálisis”</w:t>
      </w: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.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Año 1959-1960. Cap. VII a XII Editorial Paidós</w:t>
      </w:r>
    </w:p>
    <w:p w:rsidR="00752855" w:rsidRPr="00752855" w:rsidRDefault="00752855" w:rsidP="00752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52855">
        <w:rPr>
          <w:rFonts w:ascii="centaur" w:eastAsia="Times New Roman" w:hAnsi="centaur" w:cs="Times New Roman"/>
          <w:b/>
          <w:bCs/>
          <w:sz w:val="24"/>
          <w:szCs w:val="24"/>
          <w:lang w:eastAsia="es-AR"/>
        </w:rPr>
        <w:t xml:space="preserve">     Sigmund Freud: </w:t>
      </w:r>
      <w:r w:rsidRPr="00752855">
        <w:rPr>
          <w:rFonts w:ascii="centaur" w:eastAsia="Times New Roman" w:hAnsi="centaur" w:cs="Times New Roman"/>
          <w:i/>
          <w:iCs/>
          <w:sz w:val="24"/>
          <w:szCs w:val="24"/>
          <w:lang w:eastAsia="es-AR"/>
        </w:rPr>
        <w:t xml:space="preserve">“Pulsiones y destinos de pulsión”. </w:t>
      </w:r>
      <w:r w:rsidRPr="00752855">
        <w:rPr>
          <w:rFonts w:ascii="centaur" w:eastAsia="Times New Roman" w:hAnsi="centaur" w:cs="Times New Roman"/>
          <w:sz w:val="24"/>
          <w:szCs w:val="24"/>
          <w:lang w:eastAsia="es-AR"/>
        </w:rPr>
        <w:t>Volumen XIV. (1915). Obras completas.  Amorrortu editores.</w:t>
      </w:r>
    </w:p>
    <w:p w:rsidR="00D9613B" w:rsidRDefault="00D9613B">
      <w:bookmarkStart w:id="0" w:name="_GoBack"/>
      <w:bookmarkEnd w:id="0"/>
    </w:p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au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855"/>
    <w:rsid w:val="00752855"/>
    <w:rsid w:val="00D9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pelle">
    <w:name w:val="spelle"/>
    <w:basedOn w:val="Fuentedeprrafopredeter"/>
    <w:rsid w:val="00752855"/>
  </w:style>
  <w:style w:type="character" w:customStyle="1" w:styleId="grame">
    <w:name w:val="grame"/>
    <w:basedOn w:val="Fuentedeprrafopredeter"/>
    <w:rsid w:val="007528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pelle">
    <w:name w:val="spelle"/>
    <w:basedOn w:val="Fuentedeprrafopredeter"/>
    <w:rsid w:val="00752855"/>
  </w:style>
  <w:style w:type="character" w:customStyle="1" w:styleId="grame">
    <w:name w:val="grame"/>
    <w:basedOn w:val="Fuentedeprrafopredeter"/>
    <w:rsid w:val="00752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5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5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0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7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4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6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717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2022-05-06T16:57:00Z</dcterms:created>
  <dcterms:modified xsi:type="dcterms:W3CDTF">2022-05-06T17:00:00Z</dcterms:modified>
</cp:coreProperties>
</file>